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3516" w14:textId="77777777" w:rsidR="0047686A" w:rsidRDefault="004C2D09">
      <w:pPr>
        <w:pStyle w:val="Corpsdetexte"/>
        <w:jc w:val="both"/>
      </w:pPr>
      <w:r>
        <w:rPr>
          <w:rFonts w:ascii="Calibri" w:hAnsi="Calibri"/>
          <w:sz w:val="24"/>
          <w:szCs w:val="24"/>
        </w:rPr>
        <w:t xml:space="preserve">La présente charte s’impose à tout détenteur d’animaux concerné par l’exécution des missions de service public déléguées par l’Etat à la FRGDS de (citer le nom) reconnue OVS (Organisme à Vocation Sanitaire) dans le domaine animal pour la région de (citer </w:t>
      </w:r>
      <w:r w:rsidR="004C5FAF">
        <w:rPr>
          <w:rFonts w:ascii="Calibri" w:hAnsi="Calibri"/>
          <w:sz w:val="24"/>
          <w:szCs w:val="24"/>
        </w:rPr>
        <w:t>le nom)</w:t>
      </w:r>
      <w:r>
        <w:rPr>
          <w:rFonts w:ascii="Calibri" w:hAnsi="Calibri"/>
          <w:sz w:val="24"/>
          <w:szCs w:val="24"/>
        </w:rPr>
        <w:t>, ces missions étant nécessaires à la qualification sanitaire des troupeaux.</w:t>
      </w:r>
    </w:p>
    <w:p w14:paraId="6D493517" w14:textId="77777777" w:rsidR="0047686A" w:rsidRDefault="0047686A">
      <w:pPr>
        <w:pStyle w:val="Corpsdetexte"/>
      </w:pPr>
    </w:p>
    <w:p w14:paraId="6D493518" w14:textId="77777777" w:rsidR="0047686A" w:rsidRDefault="004C2D09">
      <w:pPr>
        <w:pStyle w:val="Standard"/>
      </w:pPr>
      <w:r>
        <w:rPr>
          <w:rFonts w:ascii="Calibri" w:hAnsi="Calibri"/>
          <w:b/>
          <w:bCs/>
          <w:u w:val="single"/>
        </w:rPr>
        <w:t>Conditions générales :</w:t>
      </w:r>
    </w:p>
    <w:p w14:paraId="6D493519" w14:textId="77777777" w:rsidR="0047686A" w:rsidRDefault="004C2D09">
      <w:pPr>
        <w:pStyle w:val="Standard"/>
        <w:jc w:val="both"/>
      </w:pPr>
      <w:r>
        <w:rPr>
          <w:rFonts w:ascii="Calibri" w:hAnsi="Calibri"/>
        </w:rPr>
        <w:t xml:space="preserve">Cette délégation fait l’objet d’une convention cadre qui définit les obligations générales de l’Etat et de l’OVS ainsi que les modalités d’exécution de ces missions par l’OVS. Cette convention est consultable sur demande ou sur le site de la FRGDS (préciser). </w:t>
      </w:r>
    </w:p>
    <w:p w14:paraId="6D49351A" w14:textId="77777777" w:rsidR="0047686A" w:rsidRDefault="0047686A">
      <w:pPr>
        <w:pStyle w:val="Standard"/>
        <w:jc w:val="both"/>
      </w:pPr>
    </w:p>
    <w:p w14:paraId="6D49351B" w14:textId="77777777" w:rsidR="0047686A" w:rsidRDefault="004C2D09">
      <w:pPr>
        <w:pStyle w:val="Standard"/>
        <w:spacing w:after="0"/>
        <w:jc w:val="both"/>
        <w:rPr>
          <w:rFonts w:ascii="Calibri" w:hAnsi="Calibri"/>
        </w:rPr>
      </w:pPr>
      <w:r>
        <w:rPr>
          <w:rFonts w:ascii="Calibri" w:hAnsi="Calibri"/>
        </w:rPr>
        <w:t>Cette délégation met en œuvre des méthodologies d’exécution validées par le ministère en charge de l’agriculture. (Cahier des charges consult</w:t>
      </w:r>
      <w:r w:rsidR="004C5FAF">
        <w:rPr>
          <w:rFonts w:ascii="Calibri" w:hAnsi="Calibri"/>
        </w:rPr>
        <w:t>able sur </w:t>
      </w:r>
      <w:proofErr w:type="spellStart"/>
      <w:r w:rsidR="004C5FAF">
        <w:rPr>
          <w:rFonts w:ascii="Calibri" w:hAnsi="Calibri"/>
        </w:rPr>
        <w:t>B.O.agri</w:t>
      </w:r>
      <w:proofErr w:type="spellEnd"/>
      <w:r w:rsidR="004C5FAF">
        <w:rPr>
          <w:rFonts w:ascii="Calibri" w:hAnsi="Calibri"/>
        </w:rPr>
        <w:t xml:space="preserve"> (</w:t>
      </w:r>
      <w:hyperlink r:id="rId11" w:history="1">
        <w:r w:rsidR="004C5FAF" w:rsidRPr="00206D2A">
          <w:rPr>
            <w:rStyle w:val="Lienhypertexte"/>
            <w:rFonts w:ascii="Calibri" w:hAnsi="Calibri"/>
          </w:rPr>
          <w:t>https://info.agriculture.gouv.fr/gedei/site/bo-agri</w:t>
        </w:r>
      </w:hyperlink>
      <w:r w:rsidR="004C5FAF">
        <w:rPr>
          <w:rFonts w:ascii="Calibri" w:hAnsi="Calibri"/>
        </w:rPr>
        <w:t>).</w:t>
      </w:r>
    </w:p>
    <w:p w14:paraId="6D49351C" w14:textId="77777777" w:rsidR="004C5FAF" w:rsidRDefault="004C5FAF">
      <w:pPr>
        <w:pStyle w:val="Standard"/>
        <w:spacing w:after="0"/>
        <w:jc w:val="both"/>
      </w:pPr>
    </w:p>
    <w:p w14:paraId="6D49351D" w14:textId="77777777" w:rsidR="0047686A" w:rsidRDefault="0047686A">
      <w:pPr>
        <w:pStyle w:val="Standard"/>
        <w:jc w:val="both"/>
      </w:pPr>
    </w:p>
    <w:p w14:paraId="6D49351E" w14:textId="77777777" w:rsidR="0047686A" w:rsidRDefault="004C5FAF" w:rsidP="004C5FAF">
      <w:pPr>
        <w:pStyle w:val="Standard"/>
        <w:jc w:val="both"/>
      </w:pPr>
      <w:r>
        <w:rPr>
          <w:rFonts w:ascii="Calibri" w:hAnsi="Calibri"/>
        </w:rPr>
        <w:t xml:space="preserve">La réalisation des </w:t>
      </w:r>
      <w:r w:rsidR="004C2D09">
        <w:rPr>
          <w:rFonts w:ascii="Calibri" w:hAnsi="Calibri"/>
        </w:rPr>
        <w:t>missions déléguées par l’Etat est conditionnée par l'accréditation de l'OVS en satisfaisant aux exigences de la norme NF EN ISO/CEI 17020 : mise en œuvre progressive des exigences de cette norme jusqu’au 31/12/2016 et accréditation exigée à compter du 01/01/2017.</w:t>
      </w:r>
    </w:p>
    <w:p w14:paraId="6D49351F" w14:textId="77777777" w:rsidR="0047686A" w:rsidRDefault="0047686A" w:rsidP="004C5FAF">
      <w:pPr>
        <w:pStyle w:val="Standard"/>
        <w:jc w:val="both"/>
      </w:pPr>
    </w:p>
    <w:p w14:paraId="6D493520" w14:textId="77777777" w:rsidR="0047686A" w:rsidRDefault="004C2D09" w:rsidP="004C5FAF">
      <w:pPr>
        <w:pStyle w:val="Standard"/>
        <w:jc w:val="both"/>
      </w:pPr>
      <w:r>
        <w:rPr>
          <w:rFonts w:ascii="Calibri" w:hAnsi="Calibri"/>
          <w:b/>
          <w:bCs/>
          <w:u w:val="single"/>
        </w:rPr>
        <w:t>Objet :</w:t>
      </w:r>
    </w:p>
    <w:p w14:paraId="6D493521" w14:textId="77777777" w:rsidR="0047686A" w:rsidRDefault="004C2D09" w:rsidP="004C5FAF">
      <w:pPr>
        <w:pStyle w:val="Standard"/>
        <w:jc w:val="both"/>
      </w:pPr>
      <w:r>
        <w:rPr>
          <w:rFonts w:ascii="Calibri" w:hAnsi="Calibri"/>
        </w:rPr>
        <w:t>La présente  charte définit les droits et devoirs de l’OVS et  ceux du détenteur des animaux.</w:t>
      </w:r>
    </w:p>
    <w:p w14:paraId="6D493522" w14:textId="77777777" w:rsidR="0047686A" w:rsidRDefault="004C2D09" w:rsidP="004C5FAF">
      <w:pPr>
        <w:pStyle w:val="Standard"/>
        <w:jc w:val="both"/>
      </w:pPr>
      <w:r>
        <w:rPr>
          <w:rFonts w:ascii="Calibri" w:hAnsi="Calibri"/>
        </w:rPr>
        <w:t>Elle prévoit également les conditions de traitement des litiges et difficultés rencontrés.</w:t>
      </w:r>
    </w:p>
    <w:p w14:paraId="6D493523" w14:textId="77777777" w:rsidR="0047686A" w:rsidRDefault="004C2D09">
      <w:pPr>
        <w:pStyle w:val="Standard"/>
      </w:pPr>
      <w:r>
        <w:rPr>
          <w:rFonts w:ascii="Calibri" w:hAnsi="Calibri"/>
          <w:b/>
          <w:bCs/>
          <w:u w:val="single"/>
        </w:rPr>
        <w:t>Engagements de l’OVS :</w:t>
      </w:r>
    </w:p>
    <w:p w14:paraId="6D493524" w14:textId="77777777" w:rsidR="0047686A" w:rsidRDefault="004C2D09" w:rsidP="004C5FAF">
      <w:pPr>
        <w:pStyle w:val="Standard"/>
        <w:jc w:val="both"/>
      </w:pPr>
      <w:r>
        <w:rPr>
          <w:rFonts w:ascii="Calibri" w:hAnsi="Calibri"/>
        </w:rPr>
        <w:t>L’OVS s’engage à :</w:t>
      </w:r>
    </w:p>
    <w:p w14:paraId="6D493525" w14:textId="77777777" w:rsidR="0047686A" w:rsidRDefault="004C2D09" w:rsidP="004C5FAF">
      <w:pPr>
        <w:pStyle w:val="Standard"/>
        <w:numPr>
          <w:ilvl w:val="0"/>
          <w:numId w:val="2"/>
        </w:numPr>
        <w:jc w:val="both"/>
      </w:pPr>
      <w:r>
        <w:rPr>
          <w:rFonts w:ascii="Calibri" w:hAnsi="Calibri"/>
        </w:rPr>
        <w:t>informer et conseiller tout détenteur d’animaux sur la réglementation applicable aux qualifications sanitaires des troupeaux ;</w:t>
      </w:r>
    </w:p>
    <w:p w14:paraId="6D493526" w14:textId="77777777" w:rsidR="0047686A" w:rsidRDefault="004C2D09" w:rsidP="004C5FAF">
      <w:pPr>
        <w:pStyle w:val="Standard"/>
        <w:numPr>
          <w:ilvl w:val="0"/>
          <w:numId w:val="2"/>
        </w:numPr>
        <w:jc w:val="both"/>
      </w:pPr>
      <w:r>
        <w:rPr>
          <w:rFonts w:ascii="Calibri" w:hAnsi="Calibri"/>
        </w:rPr>
        <w:t>traiter de façon objective et impartiale, sur les plans techniques et financiers, tous les détenteurs d’animaux ;</w:t>
      </w:r>
    </w:p>
    <w:p w14:paraId="6D493527" w14:textId="77777777" w:rsidR="0047686A" w:rsidRDefault="004C2D09" w:rsidP="004C5FAF">
      <w:pPr>
        <w:pStyle w:val="Standard"/>
        <w:numPr>
          <w:ilvl w:val="0"/>
          <w:numId w:val="2"/>
        </w:numPr>
        <w:jc w:val="both"/>
      </w:pPr>
      <w:r>
        <w:rPr>
          <w:rFonts w:ascii="Calibri" w:hAnsi="Calibri"/>
        </w:rPr>
        <w:t xml:space="preserve">traiter de façon confidentielle toutes les données relatives aux troupeaux et leurs détenteurs. Ces données ne seront divulguées qu’à la Direction Départementale en charge de la Protection </w:t>
      </w:r>
      <w:r>
        <w:rPr>
          <w:rFonts w:ascii="Calibri" w:hAnsi="Calibri"/>
        </w:rPr>
        <w:lastRenderedPageBreak/>
        <w:t>des Populations (</w:t>
      </w:r>
      <w:proofErr w:type="spellStart"/>
      <w:r>
        <w:rPr>
          <w:rFonts w:ascii="Calibri" w:hAnsi="Calibri"/>
        </w:rPr>
        <w:t>DDecPP</w:t>
      </w:r>
      <w:proofErr w:type="spellEnd"/>
      <w:r>
        <w:rPr>
          <w:rStyle w:val="Appeldenote"/>
        </w:rPr>
        <w:footnoteReference w:id="1"/>
      </w:r>
      <w:r>
        <w:rPr>
          <w:rFonts w:ascii="Calibri" w:hAnsi="Calibri"/>
        </w:rPr>
        <w:t>) dans la limite des exigences de la délégation. Cette confidentialité ne pourra être levée que sur autorisation des autorités compétentes avec information du détenteur des animaux, ou sur requête écrite de ce dernier (traitement d’une réclamation, …) ;</w:t>
      </w:r>
    </w:p>
    <w:p w14:paraId="6D493528" w14:textId="77777777" w:rsidR="0047686A" w:rsidRDefault="004C2D09">
      <w:pPr>
        <w:pStyle w:val="Standard"/>
        <w:numPr>
          <w:ilvl w:val="0"/>
          <w:numId w:val="2"/>
        </w:numPr>
        <w:jc w:val="both"/>
      </w:pPr>
      <w:r>
        <w:rPr>
          <w:rFonts w:ascii="Calibri" w:hAnsi="Calibri"/>
        </w:rPr>
        <w:t>appliquer les méthodes fournies par l’Etat pour assurer les missions qu’il lui délègue ;</w:t>
      </w:r>
    </w:p>
    <w:p w14:paraId="6D493529" w14:textId="77777777" w:rsidR="0047686A" w:rsidRDefault="004C2D09">
      <w:pPr>
        <w:pStyle w:val="Standard"/>
        <w:numPr>
          <w:ilvl w:val="0"/>
          <w:numId w:val="2"/>
        </w:numPr>
        <w:jc w:val="both"/>
      </w:pPr>
      <w:r>
        <w:rPr>
          <w:rFonts w:ascii="Calibri" w:hAnsi="Calibri"/>
        </w:rPr>
        <w:t xml:space="preserve">permettre la bonne réalisation des opérations de prophylaxie (planification, suivi de la réalisation…) dans l’objectif que l'Etat puisse attribuer ou  maintenir la qualification sanitaire du </w:t>
      </w:r>
      <w:proofErr w:type="gramStart"/>
      <w:r>
        <w:rPr>
          <w:rFonts w:ascii="Calibri" w:hAnsi="Calibri"/>
        </w:rPr>
        <w:t>troupeau  ;</w:t>
      </w:r>
      <w:proofErr w:type="gramEnd"/>
    </w:p>
    <w:p w14:paraId="6D49352A" w14:textId="77777777" w:rsidR="0047686A" w:rsidRDefault="004C2D09">
      <w:pPr>
        <w:pStyle w:val="Standard"/>
        <w:numPr>
          <w:ilvl w:val="0"/>
          <w:numId w:val="2"/>
        </w:numPr>
        <w:jc w:val="both"/>
      </w:pPr>
      <w:r>
        <w:rPr>
          <w:rFonts w:ascii="Calibri" w:hAnsi="Calibri"/>
        </w:rPr>
        <w:t>transmettre aux acteurs concernés (détenteurs d’animaux, vétérinaires, laboratoires, …) les documents ou informations nécessaires à l</w:t>
      </w:r>
      <w:r w:rsidR="00DA3E4C">
        <w:rPr>
          <w:rFonts w:ascii="Calibri" w:hAnsi="Calibri"/>
        </w:rPr>
        <w:t xml:space="preserve">a réalisation des prophylaxies </w:t>
      </w:r>
      <w:r>
        <w:rPr>
          <w:rFonts w:ascii="Calibri" w:hAnsi="Calibri"/>
        </w:rPr>
        <w:t>;</w:t>
      </w:r>
    </w:p>
    <w:p w14:paraId="6D49352B" w14:textId="77777777" w:rsidR="0047686A" w:rsidRDefault="004C2D09">
      <w:pPr>
        <w:pStyle w:val="Standard"/>
        <w:numPr>
          <w:ilvl w:val="0"/>
          <w:numId w:val="2"/>
        </w:numPr>
        <w:jc w:val="both"/>
      </w:pPr>
      <w:r>
        <w:rPr>
          <w:rFonts w:ascii="Calibri" w:hAnsi="Calibri"/>
        </w:rPr>
        <w:t xml:space="preserve">intervenir auprès du détenteur d’animaux, du vétérinaire ou de la </w:t>
      </w:r>
      <w:proofErr w:type="spellStart"/>
      <w:r>
        <w:rPr>
          <w:rFonts w:ascii="Calibri" w:hAnsi="Calibri"/>
        </w:rPr>
        <w:t>DDecPP</w:t>
      </w:r>
      <w:proofErr w:type="spellEnd"/>
      <w:r>
        <w:rPr>
          <w:rFonts w:ascii="Calibri" w:hAnsi="Calibri"/>
        </w:rPr>
        <w:t xml:space="preserve"> pour tenter de régler tout problème ou difficulté de mise en œuvre de ces missions déléguées ;</w:t>
      </w:r>
    </w:p>
    <w:p w14:paraId="6D49352C" w14:textId="77777777" w:rsidR="0047686A" w:rsidRDefault="004C2D09">
      <w:pPr>
        <w:pStyle w:val="Standard"/>
        <w:numPr>
          <w:ilvl w:val="0"/>
          <w:numId w:val="2"/>
        </w:numPr>
        <w:jc w:val="both"/>
      </w:pPr>
      <w:r>
        <w:rPr>
          <w:rFonts w:ascii="Calibri" w:hAnsi="Calibri"/>
        </w:rPr>
        <w:t>valoriser les résultats fournis par tout intervenant ou tout laboratoire chargé des tests, visites ou analyses nécessaires aux missions déléguées :</w:t>
      </w:r>
    </w:p>
    <w:p w14:paraId="6D49352D" w14:textId="77777777" w:rsidR="0047686A" w:rsidRDefault="004C2D09">
      <w:pPr>
        <w:pStyle w:val="Paragraphedeliste"/>
        <w:numPr>
          <w:ilvl w:val="1"/>
          <w:numId w:val="2"/>
        </w:numPr>
      </w:pPr>
      <w:r>
        <w:rPr>
          <w:rFonts w:ascii="Calibri" w:hAnsi="Calibri"/>
        </w:rPr>
        <w:t>réceptionner les résultats,</w:t>
      </w:r>
    </w:p>
    <w:p w14:paraId="6D49352E" w14:textId="77777777" w:rsidR="0047686A" w:rsidRDefault="004C2D09">
      <w:pPr>
        <w:pStyle w:val="Paragraphedeliste"/>
        <w:numPr>
          <w:ilvl w:val="1"/>
          <w:numId w:val="1"/>
        </w:numPr>
        <w:jc w:val="both"/>
      </w:pPr>
      <w:r>
        <w:rPr>
          <w:rFonts w:ascii="Calibri" w:hAnsi="Calibri"/>
        </w:rPr>
        <w:t>vérifier la conformité des opérations (selon</w:t>
      </w:r>
      <w:r w:rsidR="00DA3E4C">
        <w:rPr>
          <w:rFonts w:ascii="Calibri" w:hAnsi="Calibri"/>
        </w:rPr>
        <w:t xml:space="preserve"> cahier des charges en vigueur)</w:t>
      </w:r>
      <w:r>
        <w:rPr>
          <w:rFonts w:ascii="Calibri" w:hAnsi="Calibri"/>
        </w:rPr>
        <w:t xml:space="preserve">, </w:t>
      </w:r>
    </w:p>
    <w:p w14:paraId="6D49352F" w14:textId="77777777" w:rsidR="0047686A" w:rsidRDefault="004C2D09">
      <w:pPr>
        <w:pStyle w:val="Standard"/>
        <w:numPr>
          <w:ilvl w:val="1"/>
          <w:numId w:val="1"/>
        </w:numPr>
        <w:jc w:val="both"/>
      </w:pPr>
      <w:r>
        <w:rPr>
          <w:rFonts w:ascii="Calibri" w:hAnsi="Calibri"/>
        </w:rPr>
        <w:t xml:space="preserve">en cas de besoin, solliciter le détenteur des animaux afin d'obtenir des éléments complémentaires de sa part, </w:t>
      </w:r>
    </w:p>
    <w:p w14:paraId="6D493530" w14:textId="77777777" w:rsidR="0047686A" w:rsidRDefault="004C2D09">
      <w:pPr>
        <w:pStyle w:val="Paragraphedeliste"/>
        <w:numPr>
          <w:ilvl w:val="1"/>
          <w:numId w:val="1"/>
        </w:numPr>
        <w:jc w:val="both"/>
      </w:pPr>
      <w:r>
        <w:rPr>
          <w:rFonts w:ascii="Calibri" w:hAnsi="Calibri"/>
        </w:rPr>
        <w:t xml:space="preserve">ne pas valider la prophylaxie en cas de résultat non négatif ou en cas d'éléments toujours manquants après relance de l'OVS et transmettre le dossier à la </w:t>
      </w:r>
      <w:proofErr w:type="spellStart"/>
      <w:r>
        <w:rPr>
          <w:rFonts w:ascii="Calibri" w:hAnsi="Calibri"/>
        </w:rPr>
        <w:t>DDecPP</w:t>
      </w:r>
      <w:proofErr w:type="spellEnd"/>
      <w:r>
        <w:rPr>
          <w:rFonts w:ascii="Calibri" w:hAnsi="Calibri"/>
        </w:rPr>
        <w:t>,</w:t>
      </w:r>
    </w:p>
    <w:p w14:paraId="6D493531" w14:textId="77777777" w:rsidR="0047686A" w:rsidRDefault="004C2D09">
      <w:pPr>
        <w:pStyle w:val="Standard"/>
        <w:numPr>
          <w:ilvl w:val="1"/>
          <w:numId w:val="1"/>
        </w:numPr>
        <w:jc w:val="both"/>
      </w:pPr>
      <w:r>
        <w:rPr>
          <w:rFonts w:ascii="Calibri" w:hAnsi="Calibri"/>
        </w:rPr>
        <w:t>sous réserve du règlement des prestations, mettre à disposition le cas échéant les attestations sanitaires aux détenteurs de bovins.</w:t>
      </w:r>
    </w:p>
    <w:p w14:paraId="6D493532" w14:textId="77777777" w:rsidR="0047686A" w:rsidRDefault="004C2D09">
      <w:pPr>
        <w:pStyle w:val="Standard"/>
        <w:numPr>
          <w:ilvl w:val="0"/>
          <w:numId w:val="2"/>
        </w:numPr>
        <w:jc w:val="both"/>
      </w:pPr>
      <w:r>
        <w:rPr>
          <w:rFonts w:ascii="Calibri" w:hAnsi="Calibri"/>
        </w:rPr>
        <w:t xml:space="preserve">traiter tout recours lié aux missions déléguées et assurer </w:t>
      </w:r>
      <w:r>
        <w:rPr>
          <w:rFonts w:ascii="Calibri" w:eastAsia="Calibri" w:hAnsi="Calibri" w:cs="Calibri"/>
        </w:rPr>
        <w:t xml:space="preserve">un retour d’information systématique après traitement. </w:t>
      </w:r>
    </w:p>
    <w:p w14:paraId="6D493533" w14:textId="77777777" w:rsidR="0047686A" w:rsidRDefault="0047686A">
      <w:pPr>
        <w:pStyle w:val="Standard"/>
        <w:ind w:left="360"/>
      </w:pPr>
    </w:p>
    <w:p w14:paraId="6D493534" w14:textId="77777777" w:rsidR="0047686A" w:rsidRDefault="004C2D09">
      <w:pPr>
        <w:pStyle w:val="Standard"/>
      </w:pPr>
      <w:r>
        <w:rPr>
          <w:rFonts w:ascii="Calibri" w:hAnsi="Calibri"/>
          <w:b/>
          <w:bCs/>
          <w:u w:val="single"/>
        </w:rPr>
        <w:t>Engagements du détenteur des animaux :</w:t>
      </w:r>
    </w:p>
    <w:p w14:paraId="6D493535" w14:textId="77777777" w:rsidR="0047686A" w:rsidRDefault="004C2D09">
      <w:pPr>
        <w:pStyle w:val="Standard"/>
      </w:pPr>
      <w:r>
        <w:rPr>
          <w:rFonts w:ascii="Calibri" w:hAnsi="Calibri"/>
        </w:rPr>
        <w:t>Il s’engage à :</w:t>
      </w:r>
    </w:p>
    <w:p w14:paraId="6D493536" w14:textId="77777777" w:rsidR="0047686A" w:rsidRDefault="004C2D09">
      <w:pPr>
        <w:pStyle w:val="Standard"/>
        <w:numPr>
          <w:ilvl w:val="0"/>
          <w:numId w:val="2"/>
        </w:numPr>
        <w:jc w:val="both"/>
      </w:pPr>
      <w:r>
        <w:rPr>
          <w:rFonts w:ascii="Calibri" w:hAnsi="Calibri"/>
        </w:rPr>
        <w:t>respecter la réglementation en vigueur concernant les opérations de prophylaxies et les règles sanitaires liées aux mouvements des animaux pour son cheptel ;</w:t>
      </w:r>
    </w:p>
    <w:p w14:paraId="6D493537" w14:textId="77777777" w:rsidR="0047686A" w:rsidRDefault="004C2D09">
      <w:pPr>
        <w:pStyle w:val="Standard"/>
        <w:numPr>
          <w:ilvl w:val="0"/>
          <w:numId w:val="2"/>
        </w:numPr>
        <w:jc w:val="both"/>
      </w:pPr>
      <w:r>
        <w:rPr>
          <w:rFonts w:ascii="Calibri" w:hAnsi="Calibri"/>
        </w:rPr>
        <w:t>tenir à jour l’identification de son troupeau, conformément à la réglementation en vigueur ;</w:t>
      </w:r>
    </w:p>
    <w:p w14:paraId="6D493538" w14:textId="77777777" w:rsidR="0047686A" w:rsidRPr="00DA3E4C" w:rsidRDefault="004C2D09" w:rsidP="00DA3E4C">
      <w:pPr>
        <w:pStyle w:val="Standard"/>
        <w:numPr>
          <w:ilvl w:val="0"/>
          <w:numId w:val="2"/>
        </w:numPr>
        <w:jc w:val="both"/>
        <w:rPr>
          <w:rFonts w:ascii="Calibri" w:hAnsi="Calibri"/>
        </w:rPr>
      </w:pPr>
      <w:r>
        <w:rPr>
          <w:rFonts w:ascii="Calibri" w:hAnsi="Calibri"/>
        </w:rPr>
        <w:lastRenderedPageBreak/>
        <w:t>respecter les dates de campagne de réalisation des prophylaxies, faciliter la mise en œuvre des opérations en assurant une contention adaptée de ses animaux et en présentant au vétérinaire l’ensemble des animaux soumis à test, visite ou traitement ;</w:t>
      </w:r>
    </w:p>
    <w:p w14:paraId="6D493539" w14:textId="77777777" w:rsidR="0047686A" w:rsidRPr="00DA3E4C" w:rsidRDefault="004C2D09">
      <w:pPr>
        <w:pStyle w:val="Standard"/>
        <w:numPr>
          <w:ilvl w:val="0"/>
          <w:numId w:val="2"/>
        </w:numPr>
        <w:jc w:val="both"/>
        <w:rPr>
          <w:rFonts w:ascii="Calibri" w:hAnsi="Calibri"/>
        </w:rPr>
      </w:pPr>
      <w:r>
        <w:rPr>
          <w:rFonts w:ascii="Calibri" w:hAnsi="Calibri"/>
        </w:rPr>
        <w:t>justifier auprès du vétérinaire en charge de l’exécution des opérations de prophylaxies l’absence de certains animaux et, le cas échéant, mettre à disposition des animaux remplaçants ;</w:t>
      </w:r>
    </w:p>
    <w:p w14:paraId="6D49353A" w14:textId="77777777" w:rsidR="0047686A" w:rsidRDefault="004C2D09">
      <w:pPr>
        <w:pStyle w:val="Standard"/>
        <w:numPr>
          <w:ilvl w:val="0"/>
          <w:numId w:val="2"/>
        </w:numPr>
        <w:jc w:val="both"/>
      </w:pPr>
      <w:r>
        <w:rPr>
          <w:rFonts w:ascii="Calibri" w:hAnsi="Calibri"/>
        </w:rPr>
        <w:t xml:space="preserve">fournir les attestations sanitaires lors d’introduction d’animaux ou sur demande de l’OVS ou de la </w:t>
      </w:r>
      <w:proofErr w:type="spellStart"/>
      <w:r>
        <w:rPr>
          <w:rFonts w:ascii="Calibri" w:hAnsi="Calibri"/>
        </w:rPr>
        <w:t>DDecPP</w:t>
      </w:r>
      <w:proofErr w:type="spellEnd"/>
      <w:r>
        <w:rPr>
          <w:rFonts w:ascii="Calibri" w:hAnsi="Calibri"/>
        </w:rPr>
        <w:t> ;</w:t>
      </w:r>
    </w:p>
    <w:p w14:paraId="6D49353B" w14:textId="77777777" w:rsidR="0047686A" w:rsidRDefault="004C2D09">
      <w:pPr>
        <w:pStyle w:val="Standard"/>
        <w:numPr>
          <w:ilvl w:val="0"/>
          <w:numId w:val="2"/>
        </w:numPr>
      </w:pPr>
      <w:r>
        <w:rPr>
          <w:rFonts w:ascii="Calibri" w:hAnsi="Calibri"/>
        </w:rPr>
        <w:t>s’acquitter du paiement des prestati</w:t>
      </w:r>
      <w:r w:rsidR="00DA3E4C">
        <w:rPr>
          <w:rFonts w:ascii="Calibri" w:hAnsi="Calibri"/>
        </w:rPr>
        <w:t>ons concernées</w:t>
      </w:r>
      <w:r>
        <w:rPr>
          <w:rFonts w:ascii="Calibri" w:hAnsi="Calibri"/>
        </w:rPr>
        <w:t>.</w:t>
      </w:r>
    </w:p>
    <w:p w14:paraId="6D49353C" w14:textId="77777777" w:rsidR="0047686A" w:rsidRDefault="0047686A">
      <w:pPr>
        <w:pStyle w:val="Standard"/>
      </w:pPr>
    </w:p>
    <w:p w14:paraId="6D49353D" w14:textId="77777777" w:rsidR="0047686A" w:rsidRDefault="004C2D09">
      <w:pPr>
        <w:pStyle w:val="Standard"/>
      </w:pPr>
      <w:r>
        <w:rPr>
          <w:rFonts w:ascii="Calibri" w:hAnsi="Calibri"/>
          <w:b/>
          <w:bCs/>
          <w:u w:val="single"/>
        </w:rPr>
        <w:t>Gestion des litiges et difficultés</w:t>
      </w:r>
      <w:r>
        <w:rPr>
          <w:rFonts w:ascii="Calibri" w:hAnsi="Calibri"/>
        </w:rPr>
        <w:t> :</w:t>
      </w:r>
    </w:p>
    <w:p w14:paraId="6D49353E" w14:textId="77777777" w:rsidR="0047686A" w:rsidRDefault="0047686A">
      <w:pPr>
        <w:pStyle w:val="Standard"/>
      </w:pPr>
    </w:p>
    <w:p w14:paraId="6D49353F" w14:textId="77777777" w:rsidR="0047686A" w:rsidRDefault="004C2D09">
      <w:pPr>
        <w:pStyle w:val="Standard"/>
        <w:jc w:val="both"/>
      </w:pPr>
      <w:r>
        <w:rPr>
          <w:rFonts w:ascii="Calibri" w:hAnsi="Calibri"/>
        </w:rPr>
        <w:t>En cas de difficulté dans la mise en œuvre des opérations de prophylaxies par le détenteur, l’OVS et le détenteur des animaux s’engagent à se concerter pour rechercher une solution.</w:t>
      </w:r>
    </w:p>
    <w:p w14:paraId="6D493540" w14:textId="77777777" w:rsidR="0047686A" w:rsidRDefault="004C2D09">
      <w:pPr>
        <w:pStyle w:val="Standard"/>
        <w:jc w:val="both"/>
      </w:pPr>
      <w:r>
        <w:rPr>
          <w:rFonts w:ascii="Calibri" w:hAnsi="Calibri"/>
        </w:rPr>
        <w:t>En cas de persistance du problème a</w:t>
      </w:r>
      <w:r>
        <w:rPr>
          <w:rFonts w:ascii="Calibri" w:eastAsia="Calibri" w:hAnsi="Calibri" w:cs="Calibri"/>
        </w:rPr>
        <w:t xml:space="preserve">u-delà du délai autorisé (délai au-delà </w:t>
      </w:r>
      <w:r>
        <w:rPr>
          <w:rFonts w:ascii="Calibri" w:hAnsi="Calibri"/>
        </w:rPr>
        <w:t>duquel la qualification du troupeau serait remise en cause)</w:t>
      </w:r>
      <w:r>
        <w:rPr>
          <w:rFonts w:ascii="Calibri" w:eastAsia="Calibri" w:hAnsi="Calibri" w:cs="Calibri"/>
        </w:rPr>
        <w:t xml:space="preserve">, </w:t>
      </w:r>
      <w:r>
        <w:rPr>
          <w:rFonts w:ascii="Calibri" w:hAnsi="Calibri"/>
        </w:rPr>
        <w:t xml:space="preserve">l’OVS considère la prophylaxie non réalisée et informe la  </w:t>
      </w:r>
      <w:proofErr w:type="spellStart"/>
      <w:r>
        <w:rPr>
          <w:rFonts w:ascii="Calibri" w:hAnsi="Calibri"/>
        </w:rPr>
        <w:t>DDecPP</w:t>
      </w:r>
      <w:proofErr w:type="spellEnd"/>
      <w:r>
        <w:rPr>
          <w:rFonts w:ascii="Calibri" w:hAnsi="Calibri"/>
        </w:rPr>
        <w:t xml:space="preserve">. </w:t>
      </w:r>
    </w:p>
    <w:p w14:paraId="6D493541" w14:textId="77777777" w:rsidR="0047686A" w:rsidRDefault="004C2D09">
      <w:pPr>
        <w:pStyle w:val="Corpsdetexte2"/>
      </w:pPr>
      <w:r>
        <w:rPr>
          <w:rFonts w:ascii="Calibri" w:hAnsi="Calibri"/>
          <w:sz w:val="24"/>
          <w:szCs w:val="24"/>
        </w:rPr>
        <w:t>En cas de désaccord sur la conclusion prise par l’OVS, le détenteur des animaux peut émettre un recours sur cette décision auprès de l’OVS.</w:t>
      </w:r>
    </w:p>
    <w:p w14:paraId="6D493542" w14:textId="77777777" w:rsidR="0047686A" w:rsidRDefault="004C2D09">
      <w:pPr>
        <w:pStyle w:val="Standard"/>
        <w:jc w:val="both"/>
      </w:pPr>
      <w:r>
        <w:rPr>
          <w:rFonts w:ascii="Calibri" w:hAnsi="Calibri"/>
        </w:rPr>
        <w:t>Les modalités de traitement des  recours peuvent être obtenues sur demande.</w:t>
      </w:r>
    </w:p>
    <w:p w14:paraId="6D493543" w14:textId="77777777" w:rsidR="0047686A" w:rsidRDefault="004C2D09">
      <w:pPr>
        <w:pStyle w:val="Standard"/>
        <w:jc w:val="both"/>
      </w:pPr>
      <w:r>
        <w:rPr>
          <w:rFonts w:ascii="Calibri" w:hAnsi="Calibri"/>
        </w:rPr>
        <w:t xml:space="preserve">Pour les détenteurs d’animaux en défaut de paiement des factures émises pour la réalisation des missions déléguées et en l’absence de solution concertée entre le détenteur et l’OVS, ce dernier pourra, sur autorisation de la </w:t>
      </w:r>
      <w:proofErr w:type="spellStart"/>
      <w:r>
        <w:rPr>
          <w:rFonts w:ascii="Calibri" w:hAnsi="Calibri"/>
        </w:rPr>
        <w:t>DDecPP</w:t>
      </w:r>
      <w:proofErr w:type="spellEnd"/>
      <w:r>
        <w:rPr>
          <w:rFonts w:ascii="Calibri" w:hAnsi="Calibri"/>
        </w:rPr>
        <w:t>, ne pas expédier les attestations sanitaires dans l</w:t>
      </w:r>
      <w:r w:rsidR="00DA3E4C">
        <w:rPr>
          <w:rFonts w:ascii="Calibri" w:hAnsi="Calibri"/>
        </w:rPr>
        <w:t>’attente du règlement financier.</w:t>
      </w:r>
    </w:p>
    <w:sectPr w:rsidR="0047686A">
      <w:headerReference w:type="even" r:id="rId12"/>
      <w:headerReference w:type="default" r:id="rId13"/>
      <w:footerReference w:type="even" r:id="rId14"/>
      <w:footerReference w:type="default" r:id="rId15"/>
      <w:headerReference w:type="first" r:id="rId16"/>
      <w:footerReference w:type="first" r:id="rId17"/>
      <w:pgSz w:w="11906" w:h="16838"/>
      <w:pgMar w:top="681" w:right="851" w:bottom="567" w:left="851" w:header="62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D953" w14:textId="77777777" w:rsidR="0056018B" w:rsidRDefault="0056018B">
      <w:pPr>
        <w:spacing w:after="0" w:line="240" w:lineRule="auto"/>
      </w:pPr>
      <w:r>
        <w:separator/>
      </w:r>
    </w:p>
  </w:endnote>
  <w:endnote w:type="continuationSeparator" w:id="0">
    <w:p w14:paraId="5C1C90E2" w14:textId="77777777" w:rsidR="0056018B" w:rsidRDefault="0056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335B" w14:textId="77777777" w:rsidR="00A95AE3" w:rsidRDefault="00A95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C199" w14:textId="77777777" w:rsidR="00A95AE3" w:rsidRDefault="00A95A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CAD1" w14:textId="77777777" w:rsidR="00A95AE3" w:rsidRDefault="00A95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3532" w14:textId="77777777" w:rsidR="0056018B" w:rsidRDefault="0056018B">
      <w:r>
        <w:separator/>
      </w:r>
    </w:p>
  </w:footnote>
  <w:footnote w:type="continuationSeparator" w:id="0">
    <w:p w14:paraId="48452474" w14:textId="77777777" w:rsidR="0056018B" w:rsidRDefault="0056018B">
      <w:r>
        <w:continuationSeparator/>
      </w:r>
    </w:p>
  </w:footnote>
  <w:footnote w:id="1">
    <w:p w14:paraId="6D493564" w14:textId="77777777" w:rsidR="0047686A" w:rsidRDefault="004C2D09">
      <w:pPr>
        <w:pStyle w:val="Notedebasdepage"/>
      </w:pPr>
      <w:r>
        <w:rPr>
          <w:rStyle w:val="Appelnotedebasdep"/>
        </w:rPr>
        <w:footnoteRef/>
      </w:r>
      <w:r w:rsidR="00DA3E4C">
        <w:rPr>
          <w:rStyle w:val="Appelnotedebasdep"/>
        </w:rPr>
        <w:tab/>
      </w:r>
      <w:proofErr w:type="spellStart"/>
      <w:r>
        <w:t>DDecPP</w:t>
      </w:r>
      <w:proofErr w:type="spellEnd"/>
      <w:r>
        <w:t xml:space="preserve"> = Direction Départementale en charge de l</w:t>
      </w:r>
      <w:r w:rsidR="00DA3E4C">
        <w:t xml:space="preserve">a Protection des Populations : </w:t>
      </w:r>
      <w:r>
        <w:t>en fonction du département il s'agit soit de la DDCSPP (Direction Départementale de la Cohésion Sociale et de la Protection des Populations) soit de la DDPP (Direction Départementale de la Protection des Populations). Cette structure renvoie aux ex-DDSV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2990" w14:textId="77777777" w:rsidR="00A95AE3" w:rsidRDefault="00A95A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9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706"/>
      <w:gridCol w:w="5618"/>
      <w:gridCol w:w="2391"/>
    </w:tblGrid>
    <w:tr w:rsidR="0047686A" w14:paraId="6D493553" w14:textId="77777777" w:rsidTr="004C5FAF">
      <w:trPr>
        <w:cantSplit/>
      </w:trPr>
      <w:tc>
        <w:tcPr>
          <w:tcW w:w="24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493550" w14:textId="46493790" w:rsidR="0047686A" w:rsidRDefault="006564CD" w:rsidP="004C5FAF">
          <w:pPr>
            <w:pStyle w:val="Standard"/>
            <w:jc w:val="center"/>
          </w:pPr>
          <w:r>
            <w:rPr>
              <w:noProof/>
            </w:rPr>
            <w:drawing>
              <wp:inline distT="0" distB="0" distL="0" distR="0" wp14:anchorId="01E56050" wp14:editId="57AC9E19">
                <wp:extent cx="1571625" cy="657225"/>
                <wp:effectExtent l="0" t="0" r="9525" b="9525"/>
                <wp:docPr id="3" name="Image 3" descr="GDS%20rhoÌ‚ne%20alpes%20rvb%20"/>
                <wp:cNvGraphicFramePr/>
                <a:graphic xmlns:a="http://schemas.openxmlformats.org/drawingml/2006/main">
                  <a:graphicData uri="http://schemas.openxmlformats.org/drawingml/2006/picture">
                    <pic:pic xmlns:pic="http://schemas.openxmlformats.org/drawingml/2006/picture">
                      <pic:nvPicPr>
                        <pic:cNvPr id="3" name="Image 3" descr="GDS%20rhoÌ‚ne%20alpes%20rvb%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tc>
      <w:tc>
        <w:tcPr>
          <w:tcW w:w="5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1" w14:textId="77777777" w:rsidR="0047686A" w:rsidRDefault="004C2D09">
          <w:pPr>
            <w:pStyle w:val="Standard"/>
            <w:jc w:val="center"/>
          </w:pPr>
          <w:r>
            <w:rPr>
              <w:rFonts w:ascii="Arial" w:hAnsi="Arial" w:cs="Arial"/>
              <w:sz w:val="20"/>
              <w:szCs w:val="20"/>
            </w:rPr>
            <w:t>ENREGISTREMENT</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2" w14:textId="77777777" w:rsidR="0047686A" w:rsidRDefault="004C5FAF">
          <w:pPr>
            <w:pStyle w:val="Standard"/>
          </w:pPr>
          <w:r>
            <w:rPr>
              <w:rFonts w:ascii="Arial" w:eastAsia="Arial" w:hAnsi="Arial" w:cs="Arial"/>
              <w:sz w:val="20"/>
              <w:szCs w:val="20"/>
            </w:rPr>
            <w:t>ENG-ENR</w:t>
          </w:r>
          <w:r w:rsidR="004C2D09">
            <w:rPr>
              <w:rFonts w:ascii="Arial" w:eastAsia="Arial" w:hAnsi="Arial" w:cs="Arial"/>
              <w:sz w:val="20"/>
              <w:szCs w:val="20"/>
            </w:rPr>
            <w:t>06</w:t>
          </w:r>
        </w:p>
      </w:tc>
    </w:tr>
    <w:tr w:rsidR="0047686A" w14:paraId="6D493558" w14:textId="77777777">
      <w:trPr>
        <w:cantSplit/>
      </w:trPr>
      <w:tc>
        <w:tcPr>
          <w:tcW w:w="24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4" w14:textId="77777777" w:rsidR="0047686A" w:rsidRDefault="0047686A">
          <w:pPr>
            <w:pStyle w:val="Standard"/>
          </w:pPr>
        </w:p>
      </w:tc>
      <w:tc>
        <w:tcPr>
          <w:tcW w:w="56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5" w14:textId="77777777" w:rsidR="0047686A" w:rsidRDefault="004C2D09">
          <w:pPr>
            <w:pStyle w:val="Standard"/>
            <w:jc w:val="center"/>
          </w:pPr>
          <w:r>
            <w:rPr>
              <w:rFonts w:ascii="Arial" w:eastAsia="Arial" w:hAnsi="Arial" w:cs="Arial"/>
            </w:rPr>
            <w:t>Charte de mise en œuvre des missions déléguées par l'Etat (version longue)</w:t>
          </w:r>
          <w:r>
            <w:rPr>
              <w:rFonts w:ascii="Calibri" w:hAnsi="Calibri"/>
            </w:rPr>
            <w:t xml:space="preserve"> </w:t>
          </w:r>
        </w:p>
        <w:p w14:paraId="6D493556" w14:textId="065F75A4" w:rsidR="0047686A" w:rsidRDefault="0047686A">
          <w:pPr>
            <w:pStyle w:val="Standard"/>
            <w:jc w:val="center"/>
          </w:pPr>
          <w:bookmarkStart w:id="0" w:name="_GoBack"/>
          <w:bookmarkEnd w:id="0"/>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7" w14:textId="77777777" w:rsidR="0047686A" w:rsidRDefault="004C2D09">
          <w:pPr>
            <w:pStyle w:val="Standard"/>
          </w:pPr>
          <w:r>
            <w:rPr>
              <w:rFonts w:ascii="Arial" w:hAnsi="Arial" w:cs="Arial"/>
              <w:sz w:val="20"/>
              <w:szCs w:val="20"/>
            </w:rPr>
            <w:t>Version : 02</w:t>
          </w:r>
        </w:p>
      </w:tc>
    </w:tr>
    <w:tr w:rsidR="0047686A" w14:paraId="6D49355C" w14:textId="77777777">
      <w:trPr>
        <w:cantSplit/>
      </w:trPr>
      <w:tc>
        <w:tcPr>
          <w:tcW w:w="24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9" w14:textId="77777777" w:rsidR="0047686A" w:rsidRDefault="0047686A">
          <w:pPr>
            <w:pStyle w:val="Standard"/>
          </w:pPr>
        </w:p>
      </w:tc>
      <w:tc>
        <w:tcPr>
          <w:tcW w:w="5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A" w14:textId="77777777" w:rsidR="0047686A" w:rsidRDefault="0047686A">
          <w:pPr>
            <w:pStyle w:val="Standard"/>
            <w:jc w:val="center"/>
          </w:pP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B3C8E8" w14:textId="4BA3D9D3" w:rsidR="0047686A" w:rsidRDefault="00A95AE3">
          <w:pPr>
            <w:pStyle w:val="Standard"/>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67E84326" wp14:editId="59F7F314">
                    <wp:simplePos x="0" y="0"/>
                    <wp:positionH relativeFrom="column">
                      <wp:posOffset>-66675</wp:posOffset>
                    </wp:positionH>
                    <wp:positionV relativeFrom="paragraph">
                      <wp:posOffset>205740</wp:posOffset>
                    </wp:positionV>
                    <wp:extent cx="14668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6.2pt" to="11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" strokecolor="#5b9bd5 [3204]" strokeweight=".5pt">
                    <v:stroke joinstyle="miter"/>
                  </v:line>
                </w:pict>
              </mc:Fallback>
            </mc:AlternateContent>
          </w:r>
          <w:r w:rsidR="004C5FAF">
            <w:rPr>
              <w:rFonts w:ascii="Arial" w:eastAsia="Arial" w:hAnsi="Arial" w:cs="Arial"/>
              <w:sz w:val="20"/>
              <w:szCs w:val="20"/>
            </w:rPr>
            <w:t>Date : 13/04</w:t>
          </w:r>
          <w:r w:rsidR="004C2D09">
            <w:rPr>
              <w:rFonts w:ascii="Arial" w:eastAsia="Arial" w:hAnsi="Arial" w:cs="Arial"/>
              <w:sz w:val="20"/>
              <w:szCs w:val="20"/>
            </w:rPr>
            <w:t>/2015</w:t>
          </w:r>
        </w:p>
        <w:p w14:paraId="6D49355B" w14:textId="35B60D6B" w:rsidR="00A95AE3" w:rsidRPr="00A95AE3" w:rsidRDefault="00A95AE3">
          <w:pPr>
            <w:pStyle w:val="Standard"/>
            <w:rPr>
              <w:sz w:val="18"/>
              <w:szCs w:val="18"/>
            </w:rPr>
          </w:pPr>
          <w:r w:rsidRPr="00A95AE3">
            <w:rPr>
              <w:rFonts w:ascii="Arial" w:eastAsia="Arial" w:hAnsi="Arial" w:cs="Arial"/>
              <w:sz w:val="18"/>
              <w:szCs w:val="18"/>
            </w:rPr>
            <w:t>Version RA 01 du 20/04/2015</w:t>
          </w:r>
        </w:p>
      </w:tc>
    </w:tr>
    <w:tr w:rsidR="0047686A" w14:paraId="6D493560" w14:textId="77777777">
      <w:trPr>
        <w:cantSplit/>
      </w:trPr>
      <w:tc>
        <w:tcPr>
          <w:tcW w:w="24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D" w14:textId="77777777" w:rsidR="0047686A" w:rsidRDefault="0047686A">
          <w:pPr>
            <w:pStyle w:val="Standard"/>
          </w:pPr>
        </w:p>
      </w:tc>
      <w:tc>
        <w:tcPr>
          <w:tcW w:w="5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E" w14:textId="77777777" w:rsidR="0047686A" w:rsidRDefault="0047686A">
          <w:pPr>
            <w:pStyle w:val="Standard"/>
            <w:jc w:val="center"/>
          </w:pP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49355F" w14:textId="77777777" w:rsidR="0047686A" w:rsidRDefault="004C2D09">
          <w:pPr>
            <w:pStyle w:val="Standard"/>
          </w:pPr>
          <w:r>
            <w:rPr>
              <w:rFonts w:ascii="Arial" w:eastAsia="Arial" w:hAnsi="Arial" w:cs="Arial"/>
              <w:sz w:val="20"/>
              <w:szCs w:val="20"/>
            </w:rPr>
            <w:t xml:space="preserve">Pages : Page </w:t>
          </w:r>
          <w:r>
            <w:fldChar w:fldCharType="begin"/>
          </w:r>
          <w:r>
            <w:instrText>PAGE</w:instrText>
          </w:r>
          <w:r>
            <w:fldChar w:fldCharType="separate"/>
          </w:r>
          <w:r w:rsidR="00A95AE3">
            <w:rPr>
              <w:noProof/>
            </w:rPr>
            <w:t>1</w:t>
          </w:r>
          <w:r>
            <w:fldChar w:fldCharType="end"/>
          </w:r>
          <w:r>
            <w:rPr>
              <w:rFonts w:ascii="Arial" w:eastAsia="Arial" w:hAnsi="Arial" w:cs="Arial"/>
              <w:sz w:val="20"/>
              <w:szCs w:val="20"/>
            </w:rPr>
            <w:t xml:space="preserve"> sur </w:t>
          </w:r>
          <w:r>
            <w:fldChar w:fldCharType="begin"/>
          </w:r>
          <w:r>
            <w:instrText>NUMPAGES</w:instrText>
          </w:r>
          <w:r>
            <w:fldChar w:fldCharType="separate"/>
          </w:r>
          <w:r w:rsidR="00A95AE3">
            <w:rPr>
              <w:noProof/>
            </w:rPr>
            <w:t>3</w:t>
          </w:r>
          <w:r>
            <w:fldChar w:fldCharType="end"/>
          </w:r>
        </w:p>
      </w:tc>
    </w:tr>
  </w:tbl>
  <w:p w14:paraId="6D493561" w14:textId="77777777" w:rsidR="0047686A" w:rsidRDefault="0047686A">
    <w:pPr>
      <w:pStyle w:val="En-tte"/>
      <w:tabs>
        <w:tab w:val="left" w:pos="12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2AC7" w14:textId="77777777" w:rsidR="00A95AE3" w:rsidRDefault="00A95A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7C8"/>
    <w:multiLevelType w:val="multilevel"/>
    <w:tmpl w:val="43E2977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44C3015"/>
    <w:multiLevelType w:val="multilevel"/>
    <w:tmpl w:val="B1686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F27D6F"/>
    <w:multiLevelType w:val="multilevel"/>
    <w:tmpl w:val="C2A6EE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6A"/>
    <w:rsid w:val="001F3800"/>
    <w:rsid w:val="00247FCD"/>
    <w:rsid w:val="00395A7C"/>
    <w:rsid w:val="004038ED"/>
    <w:rsid w:val="0047686A"/>
    <w:rsid w:val="004C2D09"/>
    <w:rsid w:val="004C5FAF"/>
    <w:rsid w:val="004E7897"/>
    <w:rsid w:val="0056018B"/>
    <w:rsid w:val="006564CD"/>
    <w:rsid w:val="0077137B"/>
    <w:rsid w:val="00781F7E"/>
    <w:rsid w:val="008355B4"/>
    <w:rsid w:val="009403C2"/>
    <w:rsid w:val="00A95AE3"/>
    <w:rsid w:val="00DA3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line="254" w:lineRule="auto"/>
    </w:pPr>
    <w:rPr>
      <w:rFonts w:ascii="Times New Roman" w:eastAsia="Times New Roman" w:hAnsi="Times New Roman" w:cs="Times New Roman"/>
      <w:color w:val="00000A"/>
      <w:sz w:val="24"/>
      <w:szCs w:val="24"/>
    </w:rPr>
  </w:style>
  <w:style w:type="character" w:customStyle="1" w:styleId="LienInternet">
    <w:name w:val="Lien Internet"/>
    <w:basedOn w:val="Policepardfaut"/>
    <w:rPr>
      <w:color w:val="0000FF"/>
      <w:u w:val="single"/>
      <w:lang w:val="fr-FR" w:eastAsia="fr-FR" w:bidi="fr-FR"/>
    </w:rPr>
  </w:style>
  <w:style w:type="character" w:styleId="Lienhypertextesuivivisit">
    <w:name w:val="FollowedHyperlink"/>
    <w:basedOn w:val="Policepardfaut"/>
    <w:rPr>
      <w:color w:val="800080"/>
      <w:u w:val="single"/>
    </w:rPr>
  </w:style>
  <w:style w:type="character" w:styleId="Appelnotedebasdep">
    <w:name w:val="footnote reference"/>
    <w:basedOn w:val="Policepardfaut"/>
    <w:rPr>
      <w:vertAlign w:val="superscript"/>
    </w:rPr>
  </w:style>
  <w:style w:type="character" w:customStyle="1" w:styleId="NotedebasdepageCar">
    <w:name w:val="Note de bas de page Car"/>
    <w:basedOn w:val="Policepardfaut"/>
    <w:rPr>
      <w:sz w:val="20"/>
      <w:szCs w:val="20"/>
    </w:rPr>
  </w:style>
  <w:style w:type="character" w:customStyle="1" w:styleId="En-tteCar">
    <w:name w:val="En-tête Car"/>
    <w:basedOn w:val="Policepardfaut"/>
    <w:rPr>
      <w:sz w:val="24"/>
      <w:szCs w:val="24"/>
      <w:lang w:eastAsia="fr-FR"/>
    </w:rPr>
  </w:style>
  <w:style w:type="character" w:customStyle="1" w:styleId="PieddepageCar">
    <w:name w:val="Pied de page Car"/>
    <w:basedOn w:val="Policepardfaut"/>
    <w:rPr>
      <w:sz w:val="24"/>
      <w:szCs w:val="24"/>
      <w:lang w:eastAsia="fr-FR"/>
    </w:rPr>
  </w:style>
  <w:style w:type="character" w:customStyle="1" w:styleId="ListLabel1">
    <w:name w:val="ListLabel 1"/>
    <w:rPr>
      <w:rFonts w:eastAsia="Times New Roman" w:cs="Times New Roman"/>
    </w:rPr>
  </w:style>
  <w:style w:type="character" w:customStyle="1" w:styleId="Appeldenote">
    <w:name w:val="Appel de note"/>
    <w:rPr>
      <w:vertAlign w:val="superscript"/>
    </w:rPr>
  </w:style>
  <w:style w:type="character" w:styleId="Appeldenotedefin">
    <w:name w:val="endnote reference"/>
    <w:rPr>
      <w:vertAlign w:val="superscript"/>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Caractresdenotedebasdepage">
    <w:name w:val="Caractères de note de bas de page"/>
  </w:style>
  <w:style w:type="character" w:customStyle="1" w:styleId="Caractresdenotedefin">
    <w:name w:val="Caractères de note de fin"/>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rPr>
      <w:rFonts w:ascii="Arial" w:hAnsi="Arial" w:cs="Arial"/>
      <w:sz w:val="20"/>
      <w:szCs w:val="20"/>
    </w:r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ascii="Arial" w:eastAsia="Microsoft YaHei" w:hAnsi="Arial" w:cs="Mangal"/>
      <w:b/>
      <w:bCs/>
      <w:sz w:val="28"/>
      <w:szCs w:val="28"/>
    </w:rPr>
  </w:style>
  <w:style w:type="paragraph" w:styleId="Sous-titre">
    <w:name w:val="Subtitle"/>
    <w:basedOn w:val="Titre"/>
    <w:next w:val="Corpsdetexte"/>
    <w:pPr>
      <w:jc w:val="center"/>
    </w:pPr>
    <w:rPr>
      <w:i/>
      <w:iCs/>
    </w:rPr>
  </w:style>
  <w:style w:type="paragraph" w:styleId="Corpsdetexte2">
    <w:name w:val="Body Text 2"/>
    <w:basedOn w:val="Standard"/>
    <w:pPr>
      <w:jc w:val="both"/>
    </w:pPr>
    <w:rPr>
      <w:rFonts w:ascii="Arial" w:hAnsi="Arial"/>
      <w:sz w:val="22"/>
      <w:szCs w:val="20"/>
      <w:lang w:eastAsia="ar-SA"/>
    </w:rPr>
  </w:style>
  <w:style w:type="paragraph" w:styleId="Paragraphedeliste">
    <w:name w:val="List Paragraph"/>
    <w:basedOn w:val="Standard"/>
    <w:pPr>
      <w:spacing w:after="0"/>
      <w:ind w:left="720"/>
      <w:contextualSpacing/>
    </w:pPr>
  </w:style>
  <w:style w:type="paragraph" w:styleId="Notedebasdepage">
    <w:name w:val="footnote text"/>
    <w:basedOn w:val="Standard"/>
    <w:pPr>
      <w:suppressLineNumbers/>
      <w:ind w:left="339" w:hanging="339"/>
    </w:pPr>
    <w:rPr>
      <w:sz w:val="20"/>
      <w:szCs w:val="20"/>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styleId="Lienhypertexte">
    <w:name w:val="Hyperlink"/>
    <w:basedOn w:val="Policepardfaut"/>
    <w:uiPriority w:val="99"/>
    <w:unhideWhenUsed/>
    <w:rsid w:val="004C5FAF"/>
    <w:rPr>
      <w:color w:val="0563C1" w:themeColor="hyperlink"/>
      <w:u w:val="single"/>
    </w:rPr>
  </w:style>
  <w:style w:type="paragraph" w:styleId="Textedebulles">
    <w:name w:val="Balloon Text"/>
    <w:basedOn w:val="Normal"/>
    <w:link w:val="TextedebullesCar"/>
    <w:uiPriority w:val="99"/>
    <w:semiHidden/>
    <w:unhideWhenUsed/>
    <w:rsid w:val="0077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line="254" w:lineRule="auto"/>
    </w:pPr>
    <w:rPr>
      <w:rFonts w:ascii="Times New Roman" w:eastAsia="Times New Roman" w:hAnsi="Times New Roman" w:cs="Times New Roman"/>
      <w:color w:val="00000A"/>
      <w:sz w:val="24"/>
      <w:szCs w:val="24"/>
    </w:rPr>
  </w:style>
  <w:style w:type="character" w:customStyle="1" w:styleId="LienInternet">
    <w:name w:val="Lien Internet"/>
    <w:basedOn w:val="Policepardfaut"/>
    <w:rPr>
      <w:color w:val="0000FF"/>
      <w:u w:val="single"/>
      <w:lang w:val="fr-FR" w:eastAsia="fr-FR" w:bidi="fr-FR"/>
    </w:rPr>
  </w:style>
  <w:style w:type="character" w:styleId="Lienhypertextesuivivisit">
    <w:name w:val="FollowedHyperlink"/>
    <w:basedOn w:val="Policepardfaut"/>
    <w:rPr>
      <w:color w:val="800080"/>
      <w:u w:val="single"/>
    </w:rPr>
  </w:style>
  <w:style w:type="character" w:styleId="Appelnotedebasdep">
    <w:name w:val="footnote reference"/>
    <w:basedOn w:val="Policepardfaut"/>
    <w:rPr>
      <w:vertAlign w:val="superscript"/>
    </w:rPr>
  </w:style>
  <w:style w:type="character" w:customStyle="1" w:styleId="NotedebasdepageCar">
    <w:name w:val="Note de bas de page Car"/>
    <w:basedOn w:val="Policepardfaut"/>
    <w:rPr>
      <w:sz w:val="20"/>
      <w:szCs w:val="20"/>
    </w:rPr>
  </w:style>
  <w:style w:type="character" w:customStyle="1" w:styleId="En-tteCar">
    <w:name w:val="En-tête Car"/>
    <w:basedOn w:val="Policepardfaut"/>
    <w:rPr>
      <w:sz w:val="24"/>
      <w:szCs w:val="24"/>
      <w:lang w:eastAsia="fr-FR"/>
    </w:rPr>
  </w:style>
  <w:style w:type="character" w:customStyle="1" w:styleId="PieddepageCar">
    <w:name w:val="Pied de page Car"/>
    <w:basedOn w:val="Policepardfaut"/>
    <w:rPr>
      <w:sz w:val="24"/>
      <w:szCs w:val="24"/>
      <w:lang w:eastAsia="fr-FR"/>
    </w:rPr>
  </w:style>
  <w:style w:type="character" w:customStyle="1" w:styleId="ListLabel1">
    <w:name w:val="ListLabel 1"/>
    <w:rPr>
      <w:rFonts w:eastAsia="Times New Roman" w:cs="Times New Roman"/>
    </w:rPr>
  </w:style>
  <w:style w:type="character" w:customStyle="1" w:styleId="Appeldenote">
    <w:name w:val="Appel de note"/>
    <w:rPr>
      <w:vertAlign w:val="superscript"/>
    </w:rPr>
  </w:style>
  <w:style w:type="character" w:styleId="Appeldenotedefin">
    <w:name w:val="endnote reference"/>
    <w:rPr>
      <w:vertAlign w:val="superscript"/>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Caractresdenotedebasdepage">
    <w:name w:val="Caractères de note de bas de page"/>
  </w:style>
  <w:style w:type="character" w:customStyle="1" w:styleId="Caractresdenotedefin">
    <w:name w:val="Caractères de note de fin"/>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rPr>
      <w:rFonts w:ascii="Arial" w:hAnsi="Arial" w:cs="Arial"/>
      <w:sz w:val="20"/>
      <w:szCs w:val="20"/>
    </w:r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ascii="Arial" w:eastAsia="Microsoft YaHei" w:hAnsi="Arial" w:cs="Mangal"/>
      <w:b/>
      <w:bCs/>
      <w:sz w:val="28"/>
      <w:szCs w:val="28"/>
    </w:rPr>
  </w:style>
  <w:style w:type="paragraph" w:styleId="Sous-titre">
    <w:name w:val="Subtitle"/>
    <w:basedOn w:val="Titre"/>
    <w:next w:val="Corpsdetexte"/>
    <w:pPr>
      <w:jc w:val="center"/>
    </w:pPr>
    <w:rPr>
      <w:i/>
      <w:iCs/>
    </w:rPr>
  </w:style>
  <w:style w:type="paragraph" w:styleId="Corpsdetexte2">
    <w:name w:val="Body Text 2"/>
    <w:basedOn w:val="Standard"/>
    <w:pPr>
      <w:jc w:val="both"/>
    </w:pPr>
    <w:rPr>
      <w:rFonts w:ascii="Arial" w:hAnsi="Arial"/>
      <w:sz w:val="22"/>
      <w:szCs w:val="20"/>
      <w:lang w:eastAsia="ar-SA"/>
    </w:rPr>
  </w:style>
  <w:style w:type="paragraph" w:styleId="Paragraphedeliste">
    <w:name w:val="List Paragraph"/>
    <w:basedOn w:val="Standard"/>
    <w:pPr>
      <w:spacing w:after="0"/>
      <w:ind w:left="720"/>
      <w:contextualSpacing/>
    </w:pPr>
  </w:style>
  <w:style w:type="paragraph" w:styleId="Notedebasdepage">
    <w:name w:val="footnote text"/>
    <w:basedOn w:val="Standard"/>
    <w:pPr>
      <w:suppressLineNumbers/>
      <w:ind w:left="339" w:hanging="339"/>
    </w:pPr>
    <w:rPr>
      <w:sz w:val="20"/>
      <w:szCs w:val="20"/>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styleId="Lienhypertexte">
    <w:name w:val="Hyperlink"/>
    <w:basedOn w:val="Policepardfaut"/>
    <w:uiPriority w:val="99"/>
    <w:unhideWhenUsed/>
    <w:rsid w:val="004C5FAF"/>
    <w:rPr>
      <w:color w:val="0563C1" w:themeColor="hyperlink"/>
      <w:u w:val="single"/>
    </w:rPr>
  </w:style>
  <w:style w:type="paragraph" w:styleId="Textedebulles">
    <w:name w:val="Balloon Text"/>
    <w:basedOn w:val="Normal"/>
    <w:link w:val="TextedebullesCar"/>
    <w:uiPriority w:val="99"/>
    <w:semiHidden/>
    <w:unhideWhenUsed/>
    <w:rsid w:val="0077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fo.agriculture.gouv.fr/gedei/site/bo-agr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ste_Documents_MECM" ma:contentTypeID="0x010100E622E5AF821B814096BD38904C1CB9B1005F467C8EACD9624BA76D5AF53A12A310" ma:contentTypeVersion="24" ma:contentTypeDescription="" ma:contentTypeScope="" ma:versionID="d1f034aa241ae3b3850fb7bdd8d567e2">
  <xsd:schema xmlns:xsd="http://www.w3.org/2001/XMLSchema" xmlns:xs="http://www.w3.org/2001/XMLSchema" xmlns:p="http://schemas.microsoft.com/office/2006/metadata/properties" xmlns:ns1="4393555d-6382-44ee-b8ab-1f8520a9b1e0" xmlns:ns3="12d54f44-1176-4f9e-a90c-e3fd8477e3a8" targetNamespace="http://schemas.microsoft.com/office/2006/metadata/properties" ma:root="true" ma:fieldsID="8db28dc0aaa3ced715c78173be6814a8" ns1:_="" ns3:_="">
    <xsd:import namespace="4393555d-6382-44ee-b8ab-1f8520a9b1e0"/>
    <xsd:import namespace="12d54f44-1176-4f9e-a90c-e3fd8477e3a8"/>
    <xsd:element name="properties">
      <xsd:complexType>
        <xsd:sequence>
          <xsd:element name="documentManagement">
            <xsd:complexType>
              <xsd:all>
                <xsd:element ref="ns1:Thème"/>
                <xsd:element ref="ns1:Codification"/>
                <xsd:element ref="ns1:Date_x0020_de_x0020_validation" minOccurs="0"/>
                <xsd:element ref="ns1:Numéro_x0020_de_x0020_version" minOccurs="0"/>
                <xsd:element ref="ns1:Durée_x0020_de_x0020_conservation"/>
                <xsd:element ref="ns1:Archivage_x0020_doc." minOccurs="0"/>
                <xsd:element ref="ns3:TaxCatchAll" minOccurs="0"/>
                <xsd:element ref="ns3:TaxCatchAllLabel" minOccurs="0"/>
                <xsd:element ref="ns1:edaea04942e142fd860db82dd207ecee" minOccurs="0"/>
                <xsd:element ref="ns1:c5b14abb1afa4ccfa99961c205c07923"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555d-6382-44ee-b8ab-1f8520a9b1e0" elementFormDefault="qualified">
    <xsd:import namespace="http://schemas.microsoft.com/office/2006/documentManagement/types"/>
    <xsd:import namespace="http://schemas.microsoft.com/office/infopath/2007/PartnerControls"/>
    <xsd:element name="Thème" ma:index="0" ma:displayName="Thème" ma:description="Thème des documents MQ" ma:format="Dropdown" ma:internalName="Th_x00e8_me">
      <xsd:simpleType>
        <xsd:restriction base="dms:Choice">
          <xsd:enumeration value="Exigences structurelles"/>
          <xsd:enumeration value="Pilotage"/>
          <xsd:enumeration value="Management de la qualité"/>
          <xsd:enumeration value="Ressources humaines - Compétences"/>
          <xsd:enumeration value="Contrat"/>
          <xsd:enumeration value="Ressources matérielles"/>
          <xsd:enumeration value="Méthodes - Rapports d'inspection (RI)"/>
          <xsd:enumeration value="Test2-test-test"/>
        </xsd:restriction>
      </xsd:simpleType>
    </xsd:element>
    <xsd:element name="Codification" ma:index="5" ma:displayName="Référence" ma:internalName="Codification" ma:readOnly="false">
      <xsd:simpleType>
        <xsd:restriction base="dms:Text">
          <xsd:maxLength value="9"/>
        </xsd:restriction>
      </xsd:simpleType>
    </xsd:element>
    <xsd:element name="Date_x0020_de_x0020_validation" ma:index="6" nillable="true" ma:displayName="Date approbation" ma:format="DateOnly" ma:internalName="Date_x0020_de_x0020_validation" ma:readOnly="false">
      <xsd:simpleType>
        <xsd:restriction base="dms:DateTime"/>
      </xsd:simpleType>
    </xsd:element>
    <xsd:element name="Numéro_x0020_de_x0020_version" ma:index="7" nillable="true" ma:displayName="N° version" ma:internalName="Num_x00e9_ro_x0020_de_x0020_version" ma:readOnly="false">
      <xsd:simpleType>
        <xsd:restriction base="dms:Text">
          <xsd:maxLength value="2"/>
        </xsd:restriction>
      </xsd:simpleType>
    </xsd:element>
    <xsd:element name="Durée_x0020_de_x0020_conservation" ma:index="8" ma:displayName="Archivage enregistrements" ma:default="Sans Objet" ma:format="Dropdown" ma:internalName="Dur_x00e9_e_x0020_de_x0020_conservation">
      <xsd:simpleType>
        <xsd:restriction base="dms:Choice">
          <xsd:enumeration value="/"/>
          <xsd:enumeration value="Sans Objet"/>
          <xsd:enumeration value="5 ans"/>
          <xsd:enumeration value="Vie FRGDS"/>
          <xsd:enumeration value="Vie GDS France"/>
          <xsd:enumeration value="Validité des documents de l'Etat"/>
          <xsd:enumeration value="Validité BDD Etat"/>
        </xsd:restriction>
      </xsd:simpleType>
    </xsd:element>
    <xsd:element name="Archivage_x0020_doc." ma:index="9" nillable="true" ma:displayName="Archivage doc." ma:default="/" ma:format="Dropdown" ma:internalName="Archivage_x0020_doc_x002e_">
      <xsd:simpleType>
        <xsd:restriction base="dms:Choice">
          <xsd:enumeration value="/"/>
          <xsd:enumeration value="Sans Objet"/>
          <xsd:enumeration value="5 ans"/>
          <xsd:enumeration value="Vie FRGDS"/>
          <xsd:enumeration value="Vie GDS France"/>
          <xsd:enumeration value="Validité des documents de l'Etat"/>
          <xsd:enumeration value="Validité BDD Etat"/>
        </xsd:restriction>
      </xsd:simpleType>
    </xsd:element>
    <xsd:element name="edaea04942e142fd860db82dd207ecee" ma:index="13" ma:taxonomy="true" ma:internalName="edaea04942e142fd860db82dd207ecee" ma:taxonomyFieldName="Exigences_x0020_des_x0020_r_x00e9_f_x00e9_rentiels" ma:displayName="Exigences des référentiels" ma:default="" ma:fieldId="{edaea049-42e1-42fd-860d-b82dd207ecee}" ma:taxonomyMulti="true" ma:sspId="4b6a0cb0-09dc-40c8-84e6-e40cbbcb99fa" ma:termSetId="6df74765-0b24-4ebb-935f-376361e75e13" ma:anchorId="00000000-0000-0000-0000-000000000000" ma:open="true" ma:isKeyword="false">
      <xsd:complexType>
        <xsd:sequence>
          <xsd:element ref="pc:Terms" minOccurs="0" maxOccurs="1"/>
        </xsd:sequence>
      </xsd:complexType>
    </xsd:element>
    <xsd:element name="c5b14abb1afa4ccfa99961c205c07923" ma:index="19" ma:taxonomy="true" ma:internalName="c5b14abb1afa4ccfa99961c205c07923" ma:taxonomyFieldName="Sous_x002d_Th_x00e8_me" ma:displayName="Sous-Thème" ma:readOnly="false" ma:default="" ma:fieldId="{c5b14abb-1afa-4ccf-a999-61c205c07923}" ma:sspId="4b6a0cb0-09dc-40c8-84e6-e40cbbcb99fa" ma:termSetId="b9949c14-1a5b-4346-af28-ddbb59e72a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54f44-1176-4f9e-a90c-e3fd8477e3a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e2dadef-ae54-4926-9e73-6374096e60b7}" ma:internalName="TaxCatchAll" ma:showField="CatchAllData" ma:web="12d54f44-1176-4f9e-a90c-e3fd8477e3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6e2dadef-ae54-4926-9e73-6374096e60b7}" ma:internalName="TaxCatchAllLabel" ma:readOnly="true" ma:showField="CatchAllDataLabel" ma:web="12d54f44-1176-4f9e-a90c-e3fd8477e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d54f44-1176-4f9e-a90c-e3fd8477e3a8">
      <Value>98</Value>
      <Value>99</Value>
    </TaxCatchAll>
    <c5b14abb1afa4ccfa99961c205c07923 xmlns="4393555d-6382-44ee-b8ab-1f8520a9b1e0">
      <Terms xmlns="http://schemas.microsoft.com/office/infopath/2007/PartnerControls">
        <TermInfo xmlns="http://schemas.microsoft.com/office/infopath/2007/PartnerControls">
          <TermName xmlns="http://schemas.microsoft.com/office/infopath/2007/PartnerControls">Client Bénéficiaire</TermName>
          <TermId xmlns="http://schemas.microsoft.com/office/infopath/2007/PartnerControls">ab3d7af4-e078-4f60-bdbf-f9641eb844bf</TermId>
        </TermInfo>
      </Terms>
    </c5b14abb1afa4ccfa99961c205c07923>
    <Codification xmlns="4393555d-6382-44ee-b8ab-1f8520a9b1e0">ENG-ENR06</Codification>
    <Numéro_x0020_de_x0020_version xmlns="4393555d-6382-44ee-b8ab-1f8520a9b1e0">02</Numéro_x0020_de_x0020_version>
    <edaea04942e142fd860db82dd207ecee xmlns="4393555d-6382-44ee-b8ab-1f8520a9b1e0">
      <Terms xmlns="http://schemas.microsoft.com/office/infopath/2007/PartnerControls">
        <TermInfo xmlns="http://schemas.microsoft.com/office/infopath/2007/PartnerControls">
          <TermName xmlns="http://schemas.microsoft.com/office/infopath/2007/PartnerControls">5.1.5</TermName>
          <TermId xmlns="http://schemas.microsoft.com/office/infopath/2007/PartnerControls">661c6d0f-4cce-4a4a-b927-5741b075c732</TermId>
        </TermInfo>
      </Terms>
    </edaea04942e142fd860db82dd207ecee>
    <Thème xmlns="4393555d-6382-44ee-b8ab-1f8520a9b1e0">Contrat</Thème>
    <Durée_x0020_de_x0020_conservation xmlns="4393555d-6382-44ee-b8ab-1f8520a9b1e0">5 ans</Durée_x0020_de_x0020_conservation>
    <Archivage_x0020_doc. xmlns="4393555d-6382-44ee-b8ab-1f8520a9b1e0">5 ans</Archivage_x0020_doc.>
    <Date_x0020_de_x0020_validation xmlns="4393555d-6382-44ee-b8ab-1f8520a9b1e0">2015-04-12T22:00:00+00:00</Date_x0020_de_x0020_validation>
  </documentManagement>
</p:properties>
</file>

<file path=customXml/itemProps1.xml><?xml version="1.0" encoding="utf-8"?>
<ds:datastoreItem xmlns:ds="http://schemas.openxmlformats.org/officeDocument/2006/customXml" ds:itemID="{21CE4F92-0037-490E-BFEF-F61227BDDE05}">
  <ds:schemaRefs>
    <ds:schemaRef ds:uri="http://schemas.microsoft.com/sharepoint/v3/contenttype/forms"/>
  </ds:schemaRefs>
</ds:datastoreItem>
</file>

<file path=customXml/itemProps2.xml><?xml version="1.0" encoding="utf-8"?>
<ds:datastoreItem xmlns:ds="http://schemas.openxmlformats.org/officeDocument/2006/customXml" ds:itemID="{5B3F0C63-436C-471D-8ABA-FBB1016D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555d-6382-44ee-b8ab-1f8520a9b1e0"/>
    <ds:schemaRef ds:uri="12d54f44-1176-4f9e-a90c-e3fd8477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E1D7-961A-4687-B729-295CA3B4CE19}">
  <ds:schemaRefs>
    <ds:schemaRef ds:uri="http://schemas.microsoft.com/office/2006/metadata/properties"/>
    <ds:schemaRef ds:uri="http://schemas.microsoft.com/office/infopath/2007/PartnerControls"/>
    <ds:schemaRef ds:uri="12d54f44-1176-4f9e-a90c-e3fd8477e3a8"/>
    <ds:schemaRef ds:uri="4393555d-6382-44ee-b8ab-1f8520a9b1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Charte de mise en oeuvre des missions déléguées par l'Etat, version longue</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mise en oeuvre des missions déléguées par l'Etat, version longue</dc:title>
  <dc:creator>JPO</dc:creator>
  <cp:lastModifiedBy>Chantal cwe. Weber</cp:lastModifiedBy>
  <cp:revision>7</cp:revision>
  <cp:lastPrinted>2016-06-02T08:55:00Z</cp:lastPrinted>
  <dcterms:created xsi:type="dcterms:W3CDTF">2016-06-02T08:54:00Z</dcterms:created>
  <dcterms:modified xsi:type="dcterms:W3CDTF">2016-06-22T10:23:00Z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0x010100E622E5AF821B814096BD38904C1CB9B1005F467C8EACD9624BA76D5AF53A12A310</vt:lpwstr>
  </property>
  <property fmtid="{D5CDD505-2E9C-101B-9397-08002B2CF9AE}" pid="3" name="Sous-Thème">
    <vt:lpwstr>98;#Client Bénéficiaire|ab3d7af4-e078-4f60-bdbf-f9641eb844bf</vt:lpwstr>
  </property>
  <property fmtid="{D5CDD505-2E9C-101B-9397-08002B2CF9AE}" pid="4" name="Exigences des référentiels">
    <vt:lpwstr>99;#5.1.5|661c6d0f-4cce-4a4a-b927-5741b075c732</vt:lpwstr>
  </property>
  <property fmtid="{D5CDD505-2E9C-101B-9397-08002B2CF9AE}" pid="5" name="Date approbation">
    <vt:filetime>2015-04-12T22:00:00Z</vt:filetime>
  </property>
</Properties>
</file>